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FA" w:rsidRDefault="00F745F7">
      <w:pPr>
        <w:pStyle w:val="Style4"/>
        <w:kinsoku w:val="0"/>
        <w:autoSpaceDE/>
        <w:autoSpaceDN/>
        <w:adjustRightInd/>
        <w:spacing w:before="504" w:line="206" w:lineRule="auto"/>
        <w:ind w:left="2592"/>
        <w:rPr>
          <w:rStyle w:val="CharacterStyle4"/>
          <w:rFonts w:ascii="Bookman Old Style" w:hAnsi="Bookman Old Style" w:cs="Bookman Old Style"/>
          <w:b/>
          <w:bCs/>
          <w:spacing w:val="10"/>
          <w:sz w:val="21"/>
          <w:szCs w:val="21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10"/>
          <w:sz w:val="21"/>
          <w:szCs w:val="21"/>
          <w:lang w:val="es-ES" w:eastAsia="es-ES"/>
        </w:rPr>
        <w:t>RESOLUCION N° 1437-05</w:t>
      </w:r>
    </w:p>
    <w:p w:rsidR="003F2FFA" w:rsidRDefault="00F745F7" w:rsidP="002B3CA0">
      <w:pPr>
        <w:pStyle w:val="Style4"/>
        <w:kinsoku w:val="0"/>
        <w:autoSpaceDE/>
        <w:autoSpaceDN/>
        <w:adjustRightInd/>
        <w:spacing w:before="504"/>
        <w:ind w:right="216"/>
        <w:jc w:val="both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12"/>
          <w:sz w:val="21"/>
          <w:szCs w:val="21"/>
          <w:lang w:val="es-ES" w:eastAsia="es-ES"/>
        </w:rPr>
        <w:t xml:space="preserve">TRIBUNAL ADMINISTRATIVO DE TRANSPORTE.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San José, a las diez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horas treinta y cinco minutos del nueve de noviembre de dos mil cinco.-</w:t>
      </w:r>
    </w:p>
    <w:p w:rsidR="003F2FFA" w:rsidRDefault="00F745F7">
      <w:pPr>
        <w:pStyle w:val="Style5"/>
        <w:kinsoku w:val="0"/>
        <w:autoSpaceDE/>
        <w:autoSpaceDN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lang w:val="es-ES" w:eastAsia="es-ES"/>
        </w:rPr>
        <w:t xml:space="preserve">Se conocen RECURSO DE APELACION EN SUBSIDIO, ACCIÓN DE NULIDAD Y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RECUSACIÓN interpuestos por el señor </w:t>
      </w:r>
      <w:r>
        <w:rPr>
          <w:rStyle w:val="CharacterStyle3"/>
          <w:rFonts w:ascii="Bookman Old Style" w:hAnsi="Bookman Old Style" w:cs="Bookman Old Style"/>
          <w:b/>
          <w:bCs/>
          <w:spacing w:val="11"/>
          <w:sz w:val="21"/>
          <w:szCs w:val="21"/>
          <w:lang w:val="es-ES" w:eastAsia="es-ES"/>
        </w:rPr>
        <w:t>H</w:t>
      </w:r>
      <w:r w:rsidR="002B3CA0">
        <w:rPr>
          <w:rStyle w:val="CharacterStyle3"/>
          <w:rFonts w:ascii="Bookman Old Style" w:hAnsi="Bookman Old Style" w:cs="Bookman Old Style"/>
          <w:b/>
          <w:bCs/>
          <w:spacing w:val="11"/>
          <w:sz w:val="21"/>
          <w:szCs w:val="21"/>
          <w:lang w:val="es-ES" w:eastAsia="es-ES"/>
        </w:rPr>
        <w:t>AC</w:t>
      </w:r>
      <w:r>
        <w:rPr>
          <w:rStyle w:val="CharacterStyle3"/>
          <w:rFonts w:ascii="Bookman Old Style" w:hAnsi="Bookman Old Style" w:cs="Bookman Old Style"/>
          <w:b/>
          <w:bCs/>
          <w:spacing w:val="11"/>
          <w:sz w:val="21"/>
          <w:szCs w:val="21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cédula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de identidad </w:t>
      </w:r>
      <w:r w:rsidR="002B3CA0">
        <w:rPr>
          <w:rStyle w:val="CharacterStyle3"/>
          <w:rFonts w:ascii="Verdana" w:hAnsi="Verdana" w:cs="Verdana"/>
          <w:spacing w:val="3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, contra el artículo 3 de la sesión extraordinaria 16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softHyphen/>
        <w:t xml:space="preserve">2000 de la Junta Directiva del Consejo de Transporte Público del 20 de julio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de 2000, tramitado en este Despacho bajo Expediente Administrativo N° </w:t>
      </w:r>
      <w:r>
        <w:rPr>
          <w:rStyle w:val="CharacterStyle3"/>
          <w:rFonts w:ascii="Verdana" w:hAnsi="Verdana" w:cs="Verdana"/>
          <w:lang w:val="es-ES" w:eastAsia="es-ES"/>
        </w:rPr>
        <w:t>TAT-021-01.</w:t>
      </w:r>
    </w:p>
    <w:p w:rsidR="003F2FFA" w:rsidRDefault="00F745F7">
      <w:pPr>
        <w:pStyle w:val="Style4"/>
        <w:kinsoku w:val="0"/>
        <w:autoSpaceDE/>
        <w:autoSpaceDN/>
        <w:adjustRightInd/>
        <w:spacing w:before="324" w:line="201" w:lineRule="auto"/>
        <w:ind w:left="3240"/>
        <w:rPr>
          <w:rStyle w:val="CharacterStyle4"/>
          <w:rFonts w:ascii="Bookman Old Style" w:hAnsi="Bookman Old Style" w:cs="Bookman Old Style"/>
          <w:b/>
          <w:bCs/>
          <w:spacing w:val="10"/>
          <w:sz w:val="21"/>
          <w:szCs w:val="21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10"/>
          <w:sz w:val="21"/>
          <w:szCs w:val="21"/>
          <w:lang w:val="es-ES" w:eastAsia="es-ES"/>
        </w:rPr>
        <w:t>RESULTANDO:</w:t>
      </w:r>
    </w:p>
    <w:p w:rsidR="003F2FFA" w:rsidRDefault="00F745F7">
      <w:pPr>
        <w:pStyle w:val="Style5"/>
        <w:kinsoku w:val="0"/>
        <w:autoSpaceDE/>
        <w:autoSpaceDN/>
        <w:spacing w:before="252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12"/>
          <w:sz w:val="21"/>
          <w:szCs w:val="21"/>
          <w:lang w:val="es-ES" w:eastAsia="es-ES"/>
        </w:rPr>
        <w:t xml:space="preserve">PRIMERO: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Que mediante el artículo 3 de la sesión ordinaria 16-2000 de la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Junta Directiva del Consejo de Transporte Público, del 20 de julio de 2000,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se tomó el acuerdo que dice en lo que interesa:</w:t>
      </w:r>
    </w:p>
    <w:p w:rsidR="003F2FFA" w:rsidRDefault="00F745F7">
      <w:pPr>
        <w:pStyle w:val="Style4"/>
        <w:kinsoku w:val="0"/>
        <w:autoSpaceDE/>
        <w:autoSpaceDN/>
        <w:adjustRightInd/>
        <w:spacing w:before="216"/>
        <w:ind w:left="720" w:right="720" w:hanging="216"/>
        <w:jc w:val="both"/>
        <w:rPr>
          <w:rStyle w:val="CharacterStyle4"/>
          <w:rFonts w:ascii="Verdana" w:hAnsi="Verdana" w:cs="Verdana"/>
          <w:spacing w:val="3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lang w:val="es-ES" w:eastAsia="es-ES"/>
        </w:rPr>
        <w:t>.../... "1.</w:t>
      </w:r>
      <w:r>
        <w:rPr>
          <w:rStyle w:val="CharacterStyle4"/>
          <w:rFonts w:ascii="Arial" w:hAnsi="Arial" w:cs="Arial"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3"/>
          <w:sz w:val="18"/>
          <w:szCs w:val="18"/>
          <w:lang w:val="es-ES" w:eastAsia="es-ES"/>
        </w:rPr>
        <w:t xml:space="preserve">Apartarse del criterio esgrimido por Asuntos Jurídicos e iniciar </w:t>
      </w:r>
      <w:r>
        <w:rPr>
          <w:rStyle w:val="CharacterStyle4"/>
          <w:rFonts w:ascii="Verdana" w:hAnsi="Verdana" w:cs="Verdana"/>
          <w:spacing w:val="7"/>
          <w:sz w:val="18"/>
          <w:szCs w:val="18"/>
          <w:lang w:val="es-ES" w:eastAsia="es-ES"/>
        </w:rPr>
        <w:t>formal procedimiento administrativo de cancelación a las placas PP</w:t>
      </w:r>
      <w:r>
        <w:rPr>
          <w:rStyle w:val="CharacterStyle4"/>
          <w:rFonts w:ascii="Verdana" w:hAnsi="Verdana" w:cs="Verdana"/>
          <w:spacing w:val="7"/>
          <w:sz w:val="18"/>
          <w:szCs w:val="18"/>
          <w:lang w:val="es-ES" w:eastAsia="es-ES"/>
        </w:rPr>
        <w:softHyphen/>
        <w:t xml:space="preserve">447 señor </w:t>
      </w:r>
      <w:r w:rsidR="004E392C">
        <w:rPr>
          <w:rStyle w:val="CharacterStyle4"/>
          <w:rFonts w:ascii="Verdana" w:hAnsi="Verdana" w:cs="Verdana"/>
          <w:spacing w:val="7"/>
          <w:sz w:val="18"/>
          <w:szCs w:val="18"/>
          <w:lang w:val="es-ES" w:eastAsia="es-ES"/>
        </w:rPr>
        <w:t>FSC</w:t>
      </w:r>
      <w:r>
        <w:rPr>
          <w:rStyle w:val="CharacterStyle4"/>
          <w:rFonts w:ascii="Verdana" w:hAnsi="Verdana" w:cs="Verdana"/>
          <w:spacing w:val="7"/>
          <w:sz w:val="18"/>
          <w:szCs w:val="18"/>
          <w:lang w:val="es-ES" w:eastAsia="es-ES"/>
        </w:rPr>
        <w:t xml:space="preserve">; PP 465 señor </w:t>
      </w:r>
      <w:r w:rsidR="002B3CA0">
        <w:rPr>
          <w:rStyle w:val="CharacterStyle4"/>
          <w:rFonts w:ascii="Verdana" w:hAnsi="Verdana" w:cs="Verdana"/>
          <w:spacing w:val="7"/>
          <w:sz w:val="18"/>
          <w:szCs w:val="18"/>
          <w:lang w:val="es-ES" w:eastAsia="es-ES"/>
        </w:rPr>
        <w:t>HAC</w:t>
      </w:r>
      <w:r>
        <w:rPr>
          <w:rStyle w:val="CharacterStyle4"/>
          <w:rFonts w:ascii="Verdana" w:hAnsi="Verdana" w:cs="Verdana"/>
          <w:spacing w:val="7"/>
          <w:sz w:val="18"/>
          <w:szCs w:val="18"/>
          <w:lang w:val="es-ES" w:eastAsia="es-ES"/>
        </w:rPr>
        <w:t xml:space="preserve"> y </w:t>
      </w:r>
      <w:r>
        <w:rPr>
          <w:rStyle w:val="CharacterStyle4"/>
          <w:rFonts w:ascii="Verdana" w:hAnsi="Verdana" w:cs="Verdana"/>
          <w:spacing w:val="16"/>
          <w:sz w:val="18"/>
          <w:szCs w:val="18"/>
          <w:lang w:val="es-ES" w:eastAsia="es-ES"/>
        </w:rPr>
        <w:t xml:space="preserve">PP-279 señor </w:t>
      </w:r>
      <w:r w:rsidR="00D73D1A">
        <w:rPr>
          <w:rStyle w:val="CharacterStyle4"/>
          <w:rFonts w:ascii="Verdana" w:hAnsi="Verdana" w:cs="Verdana"/>
          <w:spacing w:val="16"/>
          <w:sz w:val="18"/>
          <w:szCs w:val="18"/>
          <w:lang w:val="es-ES" w:eastAsia="es-ES"/>
        </w:rPr>
        <w:t>MRV</w:t>
      </w:r>
      <w:r>
        <w:rPr>
          <w:rStyle w:val="CharacterStyle4"/>
          <w:rFonts w:ascii="Verdana" w:hAnsi="Verdana" w:cs="Verdana"/>
          <w:spacing w:val="16"/>
          <w:sz w:val="18"/>
          <w:szCs w:val="18"/>
          <w:lang w:val="es-ES" w:eastAsia="es-ES"/>
        </w:rPr>
        <w:t xml:space="preserve">, en consideración de la </w:t>
      </w:r>
      <w:r>
        <w:rPr>
          <w:rStyle w:val="CharacterStyle4"/>
          <w:rFonts w:ascii="Verdana" w:hAnsi="Verdana" w:cs="Verdana"/>
          <w:spacing w:val="3"/>
          <w:sz w:val="18"/>
          <w:szCs w:val="18"/>
          <w:lang w:val="es-ES" w:eastAsia="es-ES"/>
        </w:rPr>
        <w:t>gravedad de los hechos que han sido constatados en autos.</w:t>
      </w:r>
    </w:p>
    <w:p w:rsidR="003F2FFA" w:rsidRDefault="00F745F7">
      <w:pPr>
        <w:pStyle w:val="Style4"/>
        <w:numPr>
          <w:ilvl w:val="0"/>
          <w:numId w:val="1"/>
        </w:numPr>
        <w:tabs>
          <w:tab w:val="clear" w:pos="504"/>
          <w:tab w:val="num" w:pos="1080"/>
        </w:tabs>
        <w:kinsoku w:val="0"/>
        <w:autoSpaceDE/>
        <w:autoSpaceDN/>
        <w:adjustRightInd/>
        <w:spacing w:before="72"/>
        <w:ind w:right="720"/>
        <w:jc w:val="both"/>
        <w:rPr>
          <w:rStyle w:val="CharacterStyle4"/>
          <w:rFonts w:ascii="Verdana" w:hAnsi="Verdana" w:cs="Verdana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spacing w:val="12"/>
          <w:sz w:val="18"/>
          <w:szCs w:val="18"/>
          <w:lang w:val="es-ES" w:eastAsia="es-ES"/>
        </w:rPr>
        <w:t xml:space="preserve">Instruir a Asuntos Jurídicos para que inicie el procedimiento </w:t>
      </w:r>
      <w:r>
        <w:rPr>
          <w:rStyle w:val="CharacterStyle4"/>
          <w:rFonts w:ascii="Verdana" w:hAnsi="Verdana" w:cs="Verdana"/>
          <w:spacing w:val="1"/>
          <w:sz w:val="18"/>
          <w:szCs w:val="18"/>
          <w:lang w:val="es-ES" w:eastAsia="es-ES"/>
        </w:rPr>
        <w:t xml:space="preserve">administrativo respectivo, de lo cual deberá rendir informe final con la </w:t>
      </w:r>
      <w:r>
        <w:rPr>
          <w:rStyle w:val="CharacterStyle4"/>
          <w:rFonts w:ascii="Verdana" w:hAnsi="Verdana" w:cs="Verdana"/>
          <w:spacing w:val="2"/>
          <w:sz w:val="18"/>
          <w:szCs w:val="18"/>
          <w:lang w:val="es-ES" w:eastAsia="es-ES"/>
        </w:rPr>
        <w:t xml:space="preserve">recomendación respectiva a esta Junta Directiva, a fin de proceder de </w:t>
      </w:r>
      <w:r>
        <w:rPr>
          <w:rStyle w:val="CharacterStyle4"/>
          <w:rFonts w:ascii="Verdana" w:hAnsi="Verdana" w:cs="Verdana"/>
          <w:sz w:val="18"/>
          <w:szCs w:val="18"/>
          <w:lang w:val="es-ES" w:eastAsia="es-ES"/>
        </w:rPr>
        <w:t>conformidad.</w:t>
      </w:r>
    </w:p>
    <w:p w:rsidR="003F2FFA" w:rsidRDefault="00F745F7">
      <w:pPr>
        <w:pStyle w:val="Style4"/>
        <w:numPr>
          <w:ilvl w:val="0"/>
          <w:numId w:val="2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36"/>
        <w:ind w:right="720"/>
        <w:jc w:val="both"/>
        <w:rPr>
          <w:rStyle w:val="CharacterStyle4"/>
          <w:rFonts w:ascii="Verdana" w:hAnsi="Verdana" w:cs="Verdana"/>
          <w:spacing w:val="1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18"/>
          <w:szCs w:val="18"/>
          <w:lang w:val="es-ES" w:eastAsia="es-ES"/>
        </w:rPr>
        <w:t xml:space="preserve">A efectos de lo anterior, ordenar al Departamento de Administración </w:t>
      </w:r>
      <w:r>
        <w:rPr>
          <w:rStyle w:val="CharacterStyle4"/>
          <w:rFonts w:ascii="Verdana" w:hAnsi="Verdana" w:cs="Verdana"/>
          <w:spacing w:val="5"/>
          <w:sz w:val="18"/>
          <w:szCs w:val="18"/>
          <w:lang w:val="es-ES" w:eastAsia="es-ES"/>
        </w:rPr>
        <w:t xml:space="preserve">de Concesiones, se sirva remitir a Asuntos Jurídicos los expedientes </w:t>
      </w:r>
      <w:r>
        <w:rPr>
          <w:rStyle w:val="CharacterStyle4"/>
          <w:rFonts w:ascii="Verdana" w:hAnsi="Verdana" w:cs="Verdana"/>
          <w:spacing w:val="3"/>
          <w:sz w:val="18"/>
          <w:szCs w:val="18"/>
          <w:lang w:val="es-ES" w:eastAsia="es-ES"/>
        </w:rPr>
        <w:t>administrativos correspondientes a las placas PP-447, PP-465, PP-</w:t>
      </w:r>
      <w:proofErr w:type="gramStart"/>
      <w:r>
        <w:rPr>
          <w:rStyle w:val="CharacterStyle4"/>
          <w:rFonts w:ascii="Verdana" w:hAnsi="Verdana" w:cs="Verdana"/>
          <w:spacing w:val="3"/>
          <w:sz w:val="18"/>
          <w:szCs w:val="18"/>
          <w:lang w:val="es-ES" w:eastAsia="es-ES"/>
        </w:rPr>
        <w:t xml:space="preserve">279 </w:t>
      </w:r>
      <w:r>
        <w:rPr>
          <w:rStyle w:val="CharacterStyle4"/>
          <w:rFonts w:ascii="Verdana" w:hAnsi="Verdana" w:cs="Verdana"/>
          <w:spacing w:val="1"/>
          <w:sz w:val="18"/>
          <w:szCs w:val="18"/>
          <w:lang w:val="es-ES" w:eastAsia="es-ES"/>
        </w:rPr>
        <w:t>...</w:t>
      </w:r>
      <w:proofErr w:type="gramEnd"/>
      <w:r>
        <w:rPr>
          <w:rStyle w:val="CharacterStyle4"/>
          <w:rFonts w:ascii="Verdana" w:hAnsi="Verdana" w:cs="Verdana"/>
          <w:spacing w:val="1"/>
          <w:sz w:val="18"/>
          <w:szCs w:val="18"/>
          <w:lang w:val="es-ES" w:eastAsia="es-ES"/>
        </w:rPr>
        <w:t>/..." (ver folios 15 a 17 del expediente)</w:t>
      </w:r>
    </w:p>
    <w:p w:rsidR="003F2FFA" w:rsidRDefault="00F745F7">
      <w:pPr>
        <w:pStyle w:val="Style5"/>
        <w:kinsoku w:val="0"/>
        <w:autoSpaceDE/>
        <w:autoSpaceDN/>
        <w:spacing w:before="540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17"/>
          <w:sz w:val="21"/>
          <w:szCs w:val="21"/>
          <w:lang w:val="es-ES" w:eastAsia="es-ES"/>
        </w:rPr>
        <w:t xml:space="preserve">SEGUNDO: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Que el día 12 de octubre de 2000, el señor </w:t>
      </w:r>
      <w:r w:rsidR="002B3CA0">
        <w:rPr>
          <w:rStyle w:val="CharacterStyle3"/>
          <w:rFonts w:ascii="Verdana" w:hAnsi="Verdana" w:cs="Verdana"/>
          <w:spacing w:val="7"/>
          <w:lang w:val="es-ES" w:eastAsia="es-ES"/>
        </w:rPr>
        <w:t>AC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 interpone Recurso de Revocatoria con Apelación en Subsidio, Acción de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Nulidad y Recusación en contra del anterior acuerdo (ver folios 18 a 22 del </w:t>
      </w:r>
      <w:r>
        <w:rPr>
          <w:rStyle w:val="CharacterStyle3"/>
          <w:rFonts w:ascii="Verdana" w:hAnsi="Verdana" w:cs="Verdana"/>
          <w:lang w:val="es-ES" w:eastAsia="es-ES"/>
        </w:rPr>
        <w:t>expediente).</w:t>
      </w:r>
    </w:p>
    <w:p w:rsidR="003F2FFA" w:rsidRDefault="00F745F7">
      <w:pPr>
        <w:pStyle w:val="Style5"/>
        <w:kinsoku w:val="0"/>
        <w:autoSpaceDE/>
        <w:autoSpaceDN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Manifiesta que la comunicación del acto recurrida es nula por cuanto no se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acompañó de los documentos de soporte, por lo que carece de motivo y en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consecuencia, al haber omisión de un elemento esencial existe la nulidad.</w:t>
      </w:r>
    </w:p>
    <w:p w:rsidR="003F2FFA" w:rsidRDefault="00F745F7">
      <w:pPr>
        <w:pStyle w:val="Style4"/>
        <w:kinsoku w:val="0"/>
        <w:autoSpaceDE/>
        <w:autoSpaceDN/>
        <w:adjustRightInd/>
        <w:spacing w:before="252"/>
        <w:ind w:right="216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Asimismo recusa al Consejo de Transporte Público, ya que han emitido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criterio en forma adelantada e improcedente.</w:t>
      </w:r>
    </w:p>
    <w:p w:rsidR="003F2FFA" w:rsidRDefault="00F745F7" w:rsidP="002B3CA0">
      <w:pPr>
        <w:pStyle w:val="Style4"/>
        <w:kinsoku w:val="0"/>
        <w:autoSpaceDE/>
        <w:autoSpaceDN/>
        <w:adjustRightInd/>
        <w:spacing w:before="216" w:after="576"/>
        <w:jc w:val="both"/>
        <w:rPr>
          <w:rStyle w:val="CharacterStyle1"/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lang w:val="es-ES" w:eastAsia="es-ES"/>
        </w:rPr>
        <w:t>Aduce la nulidad del acto impugnado, ya que el acto no reúne los elementos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br/>
      </w:r>
      <w:r>
        <w:rPr>
          <w:rStyle w:val="CharacterStyle4"/>
          <w:rFonts w:ascii="Verdana" w:hAnsi="Verdana" w:cs="Verdana"/>
          <w:spacing w:val="7"/>
          <w:lang w:val="es-ES" w:eastAsia="es-ES"/>
        </w:rPr>
        <w:t>esenciales de fundamento, motivo y contenido. Al separarse los miembros</w:t>
      </w:r>
      <w:r w:rsidR="002B3CA0">
        <w:rPr>
          <w:rStyle w:val="CharacterStyle4"/>
          <w:rFonts w:ascii="Verdana" w:hAnsi="Verdana" w:cs="Verdana"/>
          <w:spacing w:val="7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4"/>
          <w:sz w:val="20"/>
          <w:szCs w:val="20"/>
          <w:lang w:val="es-ES" w:eastAsia="es-ES"/>
        </w:rPr>
        <w:t xml:space="preserve">del Consejo de Transporte Público sin ninguna justificación, explicación o </w:t>
      </w:r>
      <w:r>
        <w:rPr>
          <w:rStyle w:val="CharacterStyle1"/>
          <w:rFonts w:ascii="Verdana" w:hAnsi="Verdana" w:cs="Verdana"/>
          <w:spacing w:val="1"/>
          <w:sz w:val="20"/>
          <w:szCs w:val="20"/>
          <w:lang w:val="es-ES" w:eastAsia="es-ES"/>
        </w:rPr>
        <w:t xml:space="preserve">razonamiento del criterio técnico de la asesoría jurídica, el acto deviene en </w:t>
      </w:r>
      <w:r>
        <w:rPr>
          <w:rStyle w:val="CharacterStyle1"/>
          <w:rFonts w:ascii="Verdana" w:hAnsi="Verdana" w:cs="Verdana"/>
          <w:spacing w:val="2"/>
          <w:sz w:val="20"/>
          <w:szCs w:val="20"/>
          <w:lang w:val="es-ES" w:eastAsia="es-ES"/>
        </w:rPr>
        <w:t>absolutamente nulo.</w:t>
      </w:r>
    </w:p>
    <w:p w:rsidR="003F2FFA" w:rsidRDefault="00F745F7">
      <w:pPr>
        <w:pStyle w:val="Style1"/>
        <w:kinsoku w:val="0"/>
        <w:autoSpaceDE/>
        <w:autoSpaceDN/>
        <w:spacing w:before="252"/>
        <w:rPr>
          <w:rStyle w:val="CharacterStyle1"/>
          <w:rFonts w:ascii="Verdana" w:hAnsi="Verdana" w:cs="Verdana"/>
          <w:sz w:val="20"/>
          <w:szCs w:val="20"/>
          <w:lang w:val="es-ES" w:eastAsia="es-ES"/>
        </w:rPr>
      </w:pPr>
      <w:r>
        <w:rPr>
          <w:rStyle w:val="CharacterStyle1"/>
          <w:rFonts w:ascii="Verdana" w:hAnsi="Verdana" w:cs="Verdana"/>
          <w:spacing w:val="4"/>
          <w:sz w:val="20"/>
          <w:szCs w:val="20"/>
          <w:lang w:val="es-ES" w:eastAsia="es-ES"/>
        </w:rPr>
        <w:lastRenderedPageBreak/>
        <w:t xml:space="preserve">Finalmente, en cuanto al fondo del asunto, indica que la falta atribuida de </w:t>
      </w:r>
      <w:r>
        <w:rPr>
          <w:rStyle w:val="CharacterStyle1"/>
          <w:rFonts w:ascii="Verdana" w:hAnsi="Verdana" w:cs="Verdana"/>
          <w:spacing w:val="3"/>
          <w:sz w:val="20"/>
          <w:szCs w:val="20"/>
          <w:lang w:val="es-ES" w:eastAsia="es-ES"/>
        </w:rPr>
        <w:t xml:space="preserve">portar el taxímetro con la tarifa anterior, no era extraño, ya que la unidad </w:t>
      </w:r>
      <w:r>
        <w:rPr>
          <w:rStyle w:val="CharacterStyle1"/>
          <w:rFonts w:ascii="Verdana" w:hAnsi="Verdana" w:cs="Verdana"/>
          <w:spacing w:val="10"/>
          <w:sz w:val="20"/>
          <w:szCs w:val="20"/>
          <w:lang w:val="es-ES" w:eastAsia="es-ES"/>
        </w:rPr>
        <w:t xml:space="preserve">original se había dañado, y el día de los hechos, el chofer conducía la </w:t>
      </w:r>
      <w:r>
        <w:rPr>
          <w:rStyle w:val="CharacterStyle1"/>
          <w:rFonts w:ascii="Verdana" w:hAnsi="Verdana" w:cs="Verdana"/>
          <w:sz w:val="20"/>
          <w:szCs w:val="20"/>
          <w:lang w:val="es-ES" w:eastAsia="es-ES"/>
        </w:rPr>
        <w:t>unidad con rumbo a San Isidro del General a repararla. El taxi no estaba en servicio.</w:t>
      </w:r>
    </w:p>
    <w:p w:rsidR="003F2FFA" w:rsidRDefault="00F745F7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Style w:val="CharacterStyle1"/>
          <w:rFonts w:ascii="Verdana" w:hAnsi="Verdana" w:cs="Verdana"/>
          <w:spacing w:val="13"/>
          <w:sz w:val="20"/>
          <w:szCs w:val="20"/>
          <w:lang w:val="es-ES" w:eastAsia="es-ES"/>
        </w:rPr>
        <w:t xml:space="preserve">Solicita se revoque lo indebidamente actuado, se le libere de mayor </w:t>
      </w:r>
      <w:r>
        <w:rPr>
          <w:rStyle w:val="CharacterStyle1"/>
          <w:rFonts w:ascii="Verdana" w:hAnsi="Verdana" w:cs="Verdana"/>
          <w:spacing w:val="10"/>
          <w:sz w:val="20"/>
          <w:szCs w:val="20"/>
          <w:lang w:val="es-ES" w:eastAsia="es-ES"/>
        </w:rPr>
        <w:t xml:space="preserve">responsabilidad y se deje sin efecto lo determinado por el Consejo de </w:t>
      </w:r>
      <w:r>
        <w:rPr>
          <w:rStyle w:val="CharacterStyle1"/>
          <w:rFonts w:ascii="Verdana" w:hAnsi="Verdana" w:cs="Verdana"/>
          <w:spacing w:val="2"/>
          <w:sz w:val="20"/>
          <w:szCs w:val="20"/>
          <w:lang w:val="es-ES" w:eastAsia="es-ES"/>
        </w:rPr>
        <w:t>Transporte Público.</w:t>
      </w:r>
    </w:p>
    <w:p w:rsidR="003F2FFA" w:rsidRDefault="00F745F7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spacing w:val="4"/>
          <w:sz w:val="20"/>
          <w:szCs w:val="20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 xml:space="preserve">TERCERO: </w:t>
      </w:r>
      <w:r>
        <w:rPr>
          <w:rStyle w:val="CharacterStyle1"/>
          <w:rFonts w:ascii="Verdana" w:hAnsi="Verdana" w:cs="Verdana"/>
          <w:spacing w:val="1"/>
          <w:sz w:val="20"/>
          <w:szCs w:val="20"/>
          <w:lang w:val="es-ES" w:eastAsia="es-ES"/>
        </w:rPr>
        <w:t xml:space="preserve">Que mediante el artículo 6 de la Sesión Ordinaria 21-2001 de la </w:t>
      </w:r>
      <w:r>
        <w:rPr>
          <w:rStyle w:val="CharacterStyle1"/>
          <w:rFonts w:ascii="Verdana" w:hAnsi="Verdana" w:cs="Verdana"/>
          <w:spacing w:val="5"/>
          <w:sz w:val="20"/>
          <w:szCs w:val="20"/>
          <w:lang w:val="es-ES" w:eastAsia="es-ES"/>
        </w:rPr>
        <w:t xml:space="preserve">Junta Directiva del Consejo de Transporte Público del 07 de junio de 2001, </w:t>
      </w:r>
      <w:r>
        <w:rPr>
          <w:rStyle w:val="CharacterStyle1"/>
          <w:rFonts w:ascii="Verdana" w:hAnsi="Verdana" w:cs="Verdana"/>
          <w:spacing w:val="4"/>
          <w:sz w:val="20"/>
          <w:szCs w:val="20"/>
          <w:lang w:val="es-ES" w:eastAsia="es-ES"/>
        </w:rPr>
        <w:t xml:space="preserve">se conoce el oficio N° 01-802 de la Dirección de Asuntos Jurídicos de fecha 14 de noviembre de 2001 y se </w:t>
      </w:r>
      <w:r w:rsidR="002B3CA0">
        <w:rPr>
          <w:rStyle w:val="CharacterStyle1"/>
          <w:rFonts w:ascii="Verdana" w:hAnsi="Verdana" w:cs="Verdana"/>
          <w:spacing w:val="4"/>
          <w:sz w:val="20"/>
          <w:szCs w:val="20"/>
          <w:lang w:val="es-ES" w:eastAsia="es-ES"/>
        </w:rPr>
        <w:t>acuerda</w:t>
      </w:r>
      <w:r>
        <w:rPr>
          <w:rStyle w:val="CharacterStyle1"/>
          <w:rFonts w:ascii="Verdana" w:hAnsi="Verdana" w:cs="Verdana"/>
          <w:spacing w:val="4"/>
          <w:sz w:val="20"/>
          <w:szCs w:val="20"/>
          <w:lang w:val="es-ES" w:eastAsia="es-ES"/>
        </w:rPr>
        <w:t>:</w:t>
      </w:r>
    </w:p>
    <w:p w:rsidR="003F2FFA" w:rsidRDefault="00F745F7">
      <w:pPr>
        <w:pStyle w:val="Style2"/>
        <w:kinsoku w:val="0"/>
        <w:autoSpaceDE/>
        <w:autoSpaceDN/>
        <w:spacing w:before="288"/>
        <w:ind w:firstLine="0"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spacing w:val="3"/>
          <w:sz w:val="20"/>
          <w:szCs w:val="20"/>
          <w:lang w:val="es-ES" w:eastAsia="es-ES"/>
        </w:rPr>
        <w:t>.../... 1.</w:t>
      </w:r>
      <w:r>
        <w:rPr>
          <w:rStyle w:val="CharacterStyle1"/>
          <w:rFonts w:ascii="Arial" w:hAnsi="Arial" w:cs="Arial"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Acoger la recomendación de la Asesoría Jurídica y rechazar el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incidente de nulidad interpuesto por el señor </w:t>
      </w:r>
      <w:r w:rsidR="002B3CA0">
        <w:rPr>
          <w:rStyle w:val="CharacterStyle1"/>
          <w:rFonts w:ascii="Verdana" w:hAnsi="Verdana" w:cs="Verdana"/>
          <w:spacing w:val="4"/>
          <w:lang w:val="es-ES" w:eastAsia="es-ES"/>
        </w:rPr>
        <w:t>HAC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, en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virtud de no observarse defectos que pudieran ocasionar la nulidad del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acto impugnado.</w:t>
      </w:r>
    </w:p>
    <w:p w:rsidR="003F2FFA" w:rsidRDefault="00F745F7">
      <w:pPr>
        <w:pStyle w:val="Style2"/>
        <w:numPr>
          <w:ilvl w:val="0"/>
          <w:numId w:val="3"/>
        </w:numPr>
        <w:tabs>
          <w:tab w:val="clear" w:pos="432"/>
          <w:tab w:val="num" w:pos="1152"/>
        </w:tabs>
        <w:kinsoku w:val="0"/>
        <w:autoSpaceDE/>
        <w:autoSpaceDN/>
        <w:spacing w:before="252"/>
        <w:rPr>
          <w:rStyle w:val="CharacterStyle1"/>
          <w:rFonts w:ascii="Verdana" w:hAnsi="Verdana" w:cs="Verdana"/>
          <w:spacing w:val="4"/>
          <w:lang w:val="es-ES" w:eastAsia="es-ES"/>
        </w:rPr>
      </w:pP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Rechazar el recurso de revocatoria contra el acuerdo 03 de la sesión 16-2000 de este Junta Directiva por improcedente, toda vez que el acto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recurrido se encuentra dictado conforme a derecho, ya que la iniciación </w:t>
      </w:r>
      <w:r>
        <w:rPr>
          <w:rStyle w:val="CharacterStyle1"/>
          <w:rFonts w:ascii="Verdana" w:hAnsi="Verdana" w:cs="Verdana"/>
          <w:spacing w:val="10"/>
          <w:lang w:val="es-ES" w:eastAsia="es-ES"/>
        </w:rPr>
        <w:t xml:space="preserve">del procedimiento de cancelación obedece a la comprobación de la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>comisión de las irregularidades, sea el mal uso del taxímetro.</w:t>
      </w:r>
    </w:p>
    <w:p w:rsidR="003F2FFA" w:rsidRDefault="00F745F7">
      <w:pPr>
        <w:pStyle w:val="Style2"/>
        <w:numPr>
          <w:ilvl w:val="0"/>
          <w:numId w:val="3"/>
        </w:numPr>
        <w:tabs>
          <w:tab w:val="clear" w:pos="432"/>
          <w:tab w:val="num" w:pos="1152"/>
        </w:tabs>
        <w:kinsoku w:val="0"/>
        <w:autoSpaceDE/>
        <w:autoSpaceDN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Rechazar la acción de recusación por improcedente, en el tanto se </w:t>
      </w:r>
      <w:r>
        <w:rPr>
          <w:rStyle w:val="CharacterStyle1"/>
          <w:rFonts w:ascii="Verdana" w:hAnsi="Verdana" w:cs="Verdana"/>
          <w:spacing w:val="16"/>
          <w:lang w:val="es-ES" w:eastAsia="es-ES"/>
        </w:rPr>
        <w:t xml:space="preserve">recusa una estructura organizativa en forma general y no a los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funcionarios que la componen, además que el acto impugnado ha sido </w:t>
      </w:r>
      <w:r>
        <w:rPr>
          <w:rStyle w:val="CharacterStyle1"/>
          <w:rFonts w:ascii="Verdana" w:hAnsi="Verdana" w:cs="Verdana"/>
          <w:spacing w:val="10"/>
          <w:lang w:val="es-ES" w:eastAsia="es-ES"/>
        </w:rPr>
        <w:t xml:space="preserve">emitido por el órgano competente para ello, con fundamento en las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leyes que rigen la materia y de conformidad con su actividad regular,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según informe de la Dirección de Asuntos Jurídicos después de haberle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otorgado el debido proceso.</w:t>
      </w:r>
    </w:p>
    <w:p w:rsidR="003F2FFA" w:rsidRDefault="00F745F7">
      <w:pPr>
        <w:pStyle w:val="Style2"/>
        <w:numPr>
          <w:ilvl w:val="0"/>
          <w:numId w:val="3"/>
        </w:numPr>
        <w:tabs>
          <w:tab w:val="clear" w:pos="432"/>
          <w:tab w:val="num" w:pos="1152"/>
        </w:tabs>
        <w:kinsoku w:val="0"/>
        <w:autoSpaceDE/>
        <w:autoSpaceDN/>
        <w:rPr>
          <w:rStyle w:val="CharacterStyle1"/>
          <w:rFonts w:ascii="Verdana" w:hAnsi="Verdana" w:cs="Verdana"/>
          <w:spacing w:val="3"/>
          <w:lang w:val="es-ES" w:eastAsia="es-ES"/>
        </w:rPr>
      </w:pPr>
      <w:r>
        <w:rPr>
          <w:rStyle w:val="CharacterStyle1"/>
          <w:rFonts w:ascii="Verdana" w:hAnsi="Verdana" w:cs="Verdana"/>
          <w:spacing w:val="-1"/>
          <w:lang w:val="es-ES" w:eastAsia="es-ES"/>
        </w:rPr>
        <w:t xml:space="preserve">Trasladar el Recurso de Apelación interpuesto en forma subsidiaria a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conocimiento del Tribunal Administrativo de Transporte, por ser de su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exclusiva competencia, a efectos de lo cual se otorga al recurrente un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>plazo de cinco días hábiles para que manifieste lo que estime pertinente (ver folios 1 a 3 del expediente).</w:t>
      </w:r>
    </w:p>
    <w:p w:rsidR="003F2FFA" w:rsidRDefault="00F745F7">
      <w:pPr>
        <w:pStyle w:val="Style3"/>
        <w:kinsoku w:val="0"/>
        <w:autoSpaceDE/>
        <w:autoSpaceDN/>
        <w:adjustRightInd/>
        <w:spacing w:before="288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 xml:space="preserve">CUARTO: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En los procedimientos se han seguido las prescripciones de ley.</w:t>
      </w:r>
    </w:p>
    <w:p w:rsidR="003F2FFA" w:rsidRDefault="00F745F7">
      <w:pPr>
        <w:pStyle w:val="Style3"/>
        <w:kinsoku w:val="0"/>
        <w:autoSpaceDE/>
        <w:autoSpaceDN/>
        <w:adjustRightInd/>
        <w:spacing w:before="504"/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>REDACTA EL JUEZ PORTUGUEZ MÉNDEZ</w:t>
      </w:r>
    </w:p>
    <w:p w:rsidR="003F2FFA" w:rsidRDefault="00F745F7">
      <w:pPr>
        <w:pStyle w:val="Style3"/>
        <w:kinsoku w:val="0"/>
        <w:autoSpaceDE/>
        <w:autoSpaceDN/>
        <w:adjustRightInd/>
        <w:spacing w:before="792" w:line="196" w:lineRule="auto"/>
        <w:jc w:val="center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CONSIDERANDO</w:t>
      </w:r>
    </w:p>
    <w:p w:rsidR="003F2FFA" w:rsidRPr="002B3CA0" w:rsidRDefault="00F745F7" w:rsidP="002B3CA0">
      <w:pPr>
        <w:pStyle w:val="Style3"/>
        <w:kinsoku w:val="0"/>
        <w:autoSpaceDE/>
        <w:autoSpaceDN/>
        <w:adjustRightInd/>
        <w:spacing w:before="216" w:after="576"/>
        <w:jc w:val="both"/>
        <w:rPr>
          <w:rStyle w:val="CharacterStyle5"/>
          <w:rFonts w:ascii="Verdana" w:hAnsi="Verdana" w:cs="Verdana"/>
          <w:spacing w:val="17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 xml:space="preserve">1.- EN CUANTO A LA COMPETENCIA: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De conformidad con el artículo 22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br/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>de la Ley Reguladora del Servicio Público de Transporte Remunerado de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br/>
      </w:r>
      <w:r>
        <w:rPr>
          <w:rFonts w:ascii="Verdana" w:hAnsi="Verdana" w:cs="Verdana"/>
          <w:spacing w:val="17"/>
          <w:sz w:val="20"/>
          <w:szCs w:val="20"/>
          <w:lang w:val="es-ES" w:eastAsia="es-ES"/>
        </w:rPr>
        <w:t>Personas en Vehículos en la Modalidad de Taxi, No. 7969 del 22 de</w:t>
      </w:r>
      <w:r w:rsidR="002B3CA0">
        <w:rPr>
          <w:rFonts w:ascii="Verdana" w:hAnsi="Verdana" w:cs="Verdana"/>
          <w:spacing w:val="17"/>
          <w:sz w:val="20"/>
          <w:szCs w:val="20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diciembre de 1999 y el Dictamen de la Procuraduría General de la República 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N° C-037-2000 del 25 de febrero del 2000, el Tribunal Administrativo de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>Transporte es el competente para conocer y resolver el presente recurso.</w:t>
      </w:r>
    </w:p>
    <w:p w:rsidR="003F2FFA" w:rsidRDefault="00F745F7">
      <w:pPr>
        <w:pStyle w:val="Style6"/>
        <w:numPr>
          <w:ilvl w:val="0"/>
          <w:numId w:val="4"/>
        </w:numPr>
        <w:tabs>
          <w:tab w:val="clear" w:pos="504"/>
          <w:tab w:val="num" w:pos="720"/>
        </w:tabs>
        <w:kinsoku w:val="0"/>
        <w:autoSpaceDE/>
        <w:autoSpaceDN/>
        <w:rPr>
          <w:rStyle w:val="CharacterStyle5"/>
          <w:rFonts w:ascii="Verdana" w:hAnsi="Verdana" w:cs="Verdana"/>
          <w:spacing w:val="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3"/>
          <w:w w:val="105"/>
          <w:sz w:val="20"/>
          <w:szCs w:val="20"/>
          <w:lang w:val="es-ES" w:eastAsia="es-ES"/>
        </w:rPr>
        <w:lastRenderedPageBreak/>
        <w:t xml:space="preserve">EN CUANTO A LA ADMISIBILIDAD DEL RECURSO: 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El acto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impugnado acuerda la apertura de un procedimiento administrativo para la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cancelación de la placa PP-465 al señor </w:t>
      </w:r>
      <w:r w:rsidR="002B3CA0">
        <w:rPr>
          <w:rStyle w:val="CharacterStyle5"/>
          <w:rFonts w:ascii="Verdana" w:hAnsi="Verdana" w:cs="Verdana"/>
          <w:spacing w:val="7"/>
          <w:lang w:val="es-ES" w:eastAsia="es-ES"/>
        </w:rPr>
        <w:t>AC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>.</w:t>
      </w:r>
    </w:p>
    <w:p w:rsidR="003F2FFA" w:rsidRDefault="00F745F7">
      <w:pPr>
        <w:pStyle w:val="Style6"/>
        <w:kinsoku w:val="0"/>
        <w:autoSpaceDE/>
        <w:autoSpaceDN/>
        <w:spacing w:before="324"/>
        <w:ind w:firstLine="0"/>
        <w:rPr>
          <w:rStyle w:val="CharacterStyle5"/>
          <w:rFonts w:ascii="Verdana" w:hAnsi="Verdana" w:cs="Verdana"/>
          <w:spacing w:val="7"/>
          <w:lang w:val="es-ES" w:eastAsia="es-ES"/>
        </w:rPr>
      </w:pP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Dicho acuerdo es de mero trámite, ya que es dentro del procedimiento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administrativo indicado donde podrá éste ejercer la defensa que considere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pertinente, y en donde se tomarán los acuerdos que tendrán una incidencia </w:t>
      </w:r>
      <w:r>
        <w:rPr>
          <w:rStyle w:val="CharacterStyle5"/>
          <w:rFonts w:ascii="Verdana" w:hAnsi="Verdana" w:cs="Verdana"/>
          <w:spacing w:val="12"/>
          <w:lang w:val="es-ES" w:eastAsia="es-ES"/>
        </w:rPr>
        <w:t xml:space="preserve">directa sobre los intereses del recurrente. Contra el resultado final del 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procedimiento, podrá asimismo el señor </w:t>
      </w:r>
      <w:r w:rsidR="002B3CA0">
        <w:rPr>
          <w:rStyle w:val="CharacterStyle5"/>
          <w:rFonts w:ascii="Verdana" w:hAnsi="Verdana" w:cs="Verdana"/>
          <w:spacing w:val="10"/>
          <w:lang w:val="es-ES" w:eastAsia="es-ES"/>
        </w:rPr>
        <w:t>A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, interponer los recursos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>establecidos por el ordenamiento jurídico.</w:t>
      </w:r>
    </w:p>
    <w:p w:rsidR="003F2FFA" w:rsidRDefault="00F745F7">
      <w:pPr>
        <w:pStyle w:val="Style4"/>
        <w:kinsoku w:val="0"/>
        <w:autoSpaceDE/>
        <w:autoSpaceDN/>
        <w:adjustRightInd/>
        <w:spacing w:before="396"/>
        <w:ind w:left="144" w:right="144"/>
        <w:rPr>
          <w:rStyle w:val="CharacterStyle4"/>
          <w:rFonts w:ascii="Verdana" w:hAnsi="Verdana" w:cs="Verdana"/>
          <w:spacing w:val="6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sz w:val="19"/>
          <w:szCs w:val="19"/>
          <w:lang w:val="es-ES" w:eastAsia="es-ES"/>
        </w:rPr>
        <w:t xml:space="preserve">Por lo anterior, procede, por improcedente, el rechazo ad portas del recurso </w:t>
      </w:r>
      <w:r>
        <w:rPr>
          <w:rStyle w:val="CharacterStyle4"/>
          <w:rFonts w:ascii="Verdana" w:hAnsi="Verdana" w:cs="Verdana"/>
          <w:spacing w:val="6"/>
          <w:sz w:val="19"/>
          <w:szCs w:val="19"/>
          <w:lang w:val="es-ES" w:eastAsia="es-ES"/>
        </w:rPr>
        <w:t>de apelación en subsidio.</w:t>
      </w:r>
    </w:p>
    <w:p w:rsidR="003F2FFA" w:rsidRDefault="00F745F7">
      <w:pPr>
        <w:pStyle w:val="Style6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rPr>
          <w:rStyle w:val="CharacterStyle5"/>
          <w:rFonts w:ascii="Verdana" w:hAnsi="Verdana" w:cs="Verdana"/>
          <w:spacing w:val="8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 xml:space="preserve">EN CUANTO A LA NULIDAD DEL ACTO RECURRIDO: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El recurrente 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alega la nulidad del acto recurrido por haberse apartado el Consejo de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Transporte Público del criterio emitido por la Asesoría Legal, en cuanto a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que ésta última consideraba que la sanción escrita era lo que procedía en la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falta cometida por el recurrente. El Consejo por su parte, consideró que la 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falta cometida ameritaba el inicio del procedimiento de cancelación de la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placa. De la lectura del acuerdo impugnado, en los considerandos 6 al 8, se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encuentra la motivación de las razones que llevaron al Consejo a apartarse </w:t>
      </w:r>
      <w:r>
        <w:rPr>
          <w:rStyle w:val="CharacterStyle5"/>
          <w:rFonts w:ascii="Verdana" w:hAnsi="Verdana" w:cs="Verdana"/>
          <w:spacing w:val="12"/>
          <w:lang w:val="es-ES" w:eastAsia="es-ES"/>
        </w:rPr>
        <w:t xml:space="preserve">del criterio, por lo que el acto se encuentra debidamente motivado, de </w:t>
      </w:r>
      <w:r>
        <w:rPr>
          <w:rStyle w:val="CharacterStyle5"/>
          <w:rFonts w:ascii="Verdana" w:hAnsi="Verdana" w:cs="Verdana"/>
          <w:spacing w:val="14"/>
          <w:lang w:val="es-ES" w:eastAsia="es-ES"/>
        </w:rPr>
        <w:t xml:space="preserve">acuerdo con lo establecido en el inciso 1.c) del artículo 136 de la Ley 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 xml:space="preserve">General de la Administración Pública. En virtud de lo anterior, no se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>encuentran elementos de nulidad que invaliden el acto impugnado.</w:t>
      </w:r>
    </w:p>
    <w:p w:rsidR="003F2FFA" w:rsidRDefault="00F745F7">
      <w:pPr>
        <w:pStyle w:val="Style6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spacing w:before="504"/>
        <w:rPr>
          <w:rStyle w:val="CharacterStyle5"/>
          <w:rFonts w:ascii="Verdana" w:hAnsi="Verdana" w:cs="Verdana"/>
          <w:spacing w:val="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4"/>
          <w:w w:val="105"/>
          <w:sz w:val="20"/>
          <w:szCs w:val="20"/>
          <w:lang w:val="es-ES" w:eastAsia="es-ES"/>
        </w:rPr>
        <w:t xml:space="preserve">EN CUANTO A LA NULIDAD DE LA COMUNICACIÓN: </w:t>
      </w:r>
      <w:r>
        <w:rPr>
          <w:rStyle w:val="CharacterStyle5"/>
          <w:rFonts w:ascii="Verdana" w:hAnsi="Verdana" w:cs="Verdana"/>
          <w:spacing w:val="-4"/>
          <w:lang w:val="es-ES" w:eastAsia="es-ES"/>
        </w:rPr>
        <w:t xml:space="preserve">El señor </w:t>
      </w:r>
      <w:r w:rsidR="002B3CA0">
        <w:rPr>
          <w:rStyle w:val="CharacterStyle5"/>
          <w:rFonts w:ascii="Verdana" w:hAnsi="Verdana" w:cs="Verdana"/>
          <w:spacing w:val="-4"/>
          <w:lang w:val="es-ES" w:eastAsia="es-ES"/>
        </w:rPr>
        <w:t>A</w:t>
      </w:r>
      <w:r>
        <w:rPr>
          <w:rStyle w:val="CharacterStyle5"/>
          <w:rFonts w:ascii="Verdana" w:hAnsi="Verdana" w:cs="Verdana"/>
          <w:spacing w:val="-4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acusa de nula la comunicación del acuerdo recurrido, por no acompañarse la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misma de los documentos de soporte del mismo. Al respecto este Tribunal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considera que el acto comunicado, sea el acuerdo recurrido, contiene la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información necesaria y suficiente para que el administrado quede enterado </w:t>
      </w:r>
      <w:r>
        <w:rPr>
          <w:rStyle w:val="CharacterStyle5"/>
          <w:rFonts w:ascii="Verdana" w:hAnsi="Verdana" w:cs="Verdana"/>
          <w:spacing w:val="14"/>
          <w:lang w:val="es-ES" w:eastAsia="es-ES"/>
        </w:rPr>
        <w:t xml:space="preserve">de su situación, a la vez que cita con precisión los documentos que le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sirvieron de apoyo, por lo que no hay indefensión alguna para el recurrente, </w:t>
      </w:r>
      <w:r>
        <w:rPr>
          <w:rStyle w:val="CharacterStyle5"/>
          <w:rFonts w:ascii="Verdana" w:hAnsi="Verdana" w:cs="Verdana"/>
          <w:spacing w:val="12"/>
          <w:lang w:val="es-ES" w:eastAsia="es-ES"/>
        </w:rPr>
        <w:t xml:space="preserve">quien puede acceder al expediente y tener copia, si es del caso, de los </w:t>
      </w:r>
      <w:r>
        <w:rPr>
          <w:rStyle w:val="CharacterStyle5"/>
          <w:rFonts w:ascii="Verdana" w:hAnsi="Verdana" w:cs="Verdana"/>
          <w:spacing w:val="14"/>
          <w:lang w:val="es-ES" w:eastAsia="es-ES"/>
        </w:rPr>
        <w:t xml:space="preserve">documentos allí contenidos. Por no observarse ninguna infracción que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>conlleve a la nulidad, se rechaza la misma.</w:t>
      </w:r>
    </w:p>
    <w:p w:rsidR="00B472DC" w:rsidRDefault="00B472DC" w:rsidP="002B3CA0">
      <w:pPr>
        <w:pStyle w:val="Sinespaciado"/>
        <w:rPr>
          <w:rStyle w:val="CharacterStyle4"/>
          <w:rFonts w:ascii="Verdana" w:hAnsi="Verdana" w:cs="Verdana"/>
          <w:b/>
          <w:bCs/>
          <w:spacing w:val="-1"/>
          <w:w w:val="105"/>
          <w:lang w:val="es-ES" w:eastAsia="es-ES"/>
        </w:rPr>
      </w:pPr>
    </w:p>
    <w:p w:rsidR="002B3CA0" w:rsidRDefault="00B472DC" w:rsidP="00B472DC">
      <w:pPr>
        <w:pStyle w:val="Sinespaciado"/>
        <w:tabs>
          <w:tab w:val="left" w:pos="567"/>
        </w:tabs>
        <w:ind w:left="142"/>
        <w:jc w:val="both"/>
        <w:rPr>
          <w:rStyle w:val="CharacterStyle4"/>
          <w:rFonts w:ascii="Verdana" w:hAnsi="Verdana" w:cs="Verdana"/>
          <w:spacing w:val="8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"/>
          <w:w w:val="105"/>
          <w:lang w:val="es-ES" w:eastAsia="es-ES"/>
        </w:rPr>
        <w:t>5.-</w:t>
      </w:r>
      <w:r>
        <w:rPr>
          <w:rStyle w:val="CharacterStyle4"/>
          <w:rFonts w:ascii="Verdana" w:hAnsi="Verdana" w:cs="Verdana"/>
          <w:b/>
          <w:bCs/>
          <w:spacing w:val="-1"/>
          <w:w w:val="105"/>
          <w:lang w:val="es-ES" w:eastAsia="es-ES"/>
        </w:rPr>
        <w:tab/>
      </w:r>
      <w:r w:rsidR="00F745F7">
        <w:rPr>
          <w:rStyle w:val="CharacterStyle4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EN CUANTO A LA RECUSACIÓN DEL CONSEJO DE TRANSPORTE </w:t>
      </w:r>
      <w:r w:rsidR="00F745F7">
        <w:rPr>
          <w:rStyle w:val="CharacterStyle4"/>
          <w:rFonts w:ascii="Verdana" w:hAnsi="Verdana" w:cs="Verdana"/>
          <w:b/>
          <w:bCs/>
          <w:spacing w:val="11"/>
          <w:w w:val="105"/>
          <w:lang w:val="es-ES" w:eastAsia="es-ES"/>
        </w:rPr>
        <w:t xml:space="preserve">PÚBLICO: </w:t>
      </w:r>
      <w:r w:rsidR="00F745F7">
        <w:rPr>
          <w:rStyle w:val="CharacterStyle4"/>
          <w:rFonts w:ascii="Verdana" w:hAnsi="Verdana" w:cs="Verdana"/>
          <w:spacing w:val="11"/>
          <w:sz w:val="19"/>
          <w:szCs w:val="19"/>
          <w:lang w:val="es-ES" w:eastAsia="es-ES"/>
        </w:rPr>
        <w:t xml:space="preserve">La recusación no procede en contra de un órgano colegiado, </w:t>
      </w:r>
      <w:r w:rsidR="00F745F7">
        <w:rPr>
          <w:rStyle w:val="CharacterStyle4"/>
          <w:rFonts w:ascii="Verdana" w:hAnsi="Verdana" w:cs="Verdana"/>
          <w:spacing w:val="6"/>
          <w:sz w:val="19"/>
          <w:szCs w:val="19"/>
          <w:lang w:val="es-ES" w:eastAsia="es-ES"/>
        </w:rPr>
        <w:t xml:space="preserve">visto éste como un todo, sino en contra de los integrantes del mismo, a los </w:t>
      </w:r>
      <w:r w:rsidR="00F745F7">
        <w:rPr>
          <w:rStyle w:val="CharacterStyle4"/>
          <w:rFonts w:ascii="Verdana" w:hAnsi="Verdana" w:cs="Verdana"/>
          <w:spacing w:val="9"/>
          <w:sz w:val="19"/>
          <w:szCs w:val="19"/>
          <w:lang w:val="es-ES" w:eastAsia="es-ES"/>
        </w:rPr>
        <w:t xml:space="preserve">cuales se les debe recusar formalmente, conforme con lo indicado en los </w:t>
      </w:r>
      <w:r w:rsidR="00F745F7">
        <w:rPr>
          <w:rStyle w:val="CharacterStyle4"/>
          <w:rFonts w:ascii="Verdana" w:hAnsi="Verdana" w:cs="Verdana"/>
          <w:spacing w:val="8"/>
          <w:sz w:val="19"/>
          <w:szCs w:val="19"/>
          <w:lang w:val="es-ES" w:eastAsia="es-ES"/>
        </w:rPr>
        <w:t>artículos 230 a 238 de la Ley General de la Administración Pública.</w:t>
      </w:r>
    </w:p>
    <w:p w:rsidR="002B3CA0" w:rsidRDefault="002B3CA0" w:rsidP="002B3CA0">
      <w:pPr>
        <w:pStyle w:val="Sinespaciado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</w:p>
    <w:p w:rsidR="003F2FFA" w:rsidRPr="002B3CA0" w:rsidRDefault="002B3CA0" w:rsidP="002B3CA0">
      <w:pPr>
        <w:pStyle w:val="Sinespaciado"/>
        <w:jc w:val="center"/>
        <w:rPr>
          <w:rStyle w:val="CharacterStyle4"/>
          <w:rFonts w:ascii="Verdana" w:hAnsi="Verdana" w:cs="Verdana"/>
          <w:spacing w:val="8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POR T</w:t>
      </w:r>
      <w:r w:rsidR="00F745F7" w:rsidRPr="002B3CA0"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ANTO</w:t>
      </w:r>
    </w:p>
    <w:p w:rsidR="003F2FFA" w:rsidRDefault="002B3CA0" w:rsidP="002B3CA0">
      <w:pPr>
        <w:pStyle w:val="Style4"/>
        <w:kinsoku w:val="0"/>
        <w:autoSpaceDE/>
        <w:autoSpaceDN/>
        <w:adjustRightInd/>
        <w:spacing w:before="252"/>
        <w:ind w:right="144"/>
        <w:jc w:val="both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w w:val="105"/>
          <w:lang w:val="es-ES" w:eastAsia="es-ES"/>
        </w:rPr>
        <w:t>I</w:t>
      </w:r>
      <w:r w:rsidR="00F745F7">
        <w:rPr>
          <w:rStyle w:val="CharacterStyle4"/>
          <w:rFonts w:ascii="Verdana" w:hAnsi="Verdana" w:cs="Verdana"/>
          <w:b/>
          <w:bCs/>
          <w:spacing w:val="4"/>
          <w:w w:val="105"/>
          <w:lang w:val="es-ES" w:eastAsia="es-ES"/>
        </w:rPr>
        <w:t xml:space="preserve">.- </w:t>
      </w:r>
      <w:r w:rsidR="00F745F7">
        <w:rPr>
          <w:rStyle w:val="CharacterStyle4"/>
          <w:rFonts w:ascii="Verdana" w:hAnsi="Verdana" w:cs="Verdana"/>
          <w:spacing w:val="4"/>
          <w:lang w:val="es-ES" w:eastAsia="es-ES"/>
        </w:rPr>
        <w:t xml:space="preserve">Se rechaza por improcedente el Recurso de Apelación en Subsidio, la </w:t>
      </w:r>
      <w:r w:rsidR="00F745F7">
        <w:rPr>
          <w:rStyle w:val="CharacterStyle4"/>
          <w:rFonts w:ascii="Verdana" w:hAnsi="Verdana" w:cs="Verdana"/>
          <w:spacing w:val="12"/>
          <w:lang w:val="es-ES" w:eastAsia="es-ES"/>
        </w:rPr>
        <w:t xml:space="preserve">Acción de Nulidad y la Recusación interpuestos por el señor </w:t>
      </w:r>
      <w:r w:rsidR="00F745F7">
        <w:rPr>
          <w:rStyle w:val="CharacterStyle4"/>
          <w:rFonts w:ascii="Verdana" w:hAnsi="Verdana" w:cs="Verdana"/>
          <w:b/>
          <w:bCs/>
          <w:spacing w:val="12"/>
          <w:w w:val="105"/>
          <w:lang w:val="es-ES" w:eastAsia="es-ES"/>
        </w:rPr>
        <w:t>H</w:t>
      </w:r>
      <w:r>
        <w:rPr>
          <w:rStyle w:val="CharacterStyle4"/>
          <w:rFonts w:ascii="Verdana" w:hAnsi="Verdana" w:cs="Verdana"/>
          <w:b/>
          <w:bCs/>
          <w:spacing w:val="12"/>
          <w:w w:val="105"/>
          <w:lang w:val="es-ES" w:eastAsia="es-ES"/>
        </w:rPr>
        <w:t>AC</w:t>
      </w:r>
      <w:r w:rsidR="00F745F7" w:rsidRPr="002B3CA0">
        <w:rPr>
          <w:rStyle w:val="CharacterStyle4"/>
          <w:rFonts w:ascii="Verdana" w:hAnsi="Verdana" w:cs="Verdana"/>
          <w:bCs/>
          <w:spacing w:val="3"/>
          <w:w w:val="105"/>
          <w:lang w:val="es-ES" w:eastAsia="es-ES"/>
        </w:rPr>
        <w:t>,</w:t>
      </w:r>
      <w:r w:rsidR="00F745F7">
        <w:rPr>
          <w:rStyle w:val="CharacterStyle4"/>
          <w:rFonts w:ascii="Verdana" w:hAnsi="Verdana" w:cs="Verdana"/>
          <w:b/>
          <w:bCs/>
          <w:spacing w:val="3"/>
          <w:w w:val="105"/>
          <w:lang w:val="es-ES" w:eastAsia="es-ES"/>
        </w:rPr>
        <w:t xml:space="preserve"> </w:t>
      </w:r>
      <w:r w:rsidR="00F745F7">
        <w:rPr>
          <w:rStyle w:val="CharacterStyle4"/>
          <w:rFonts w:ascii="Verdana" w:hAnsi="Verdana" w:cs="Verdana"/>
          <w:spacing w:val="3"/>
          <w:lang w:val="es-ES" w:eastAsia="es-ES"/>
        </w:rPr>
        <w:t xml:space="preserve">cédula de identidad 6-177-664, contra el artículo 3 de </w:t>
      </w:r>
      <w:r w:rsidR="00F745F7">
        <w:rPr>
          <w:rStyle w:val="CharacterStyle4"/>
          <w:rFonts w:ascii="Verdana" w:hAnsi="Verdana" w:cs="Verdana"/>
          <w:spacing w:val="10"/>
          <w:lang w:val="es-ES" w:eastAsia="es-ES"/>
        </w:rPr>
        <w:t xml:space="preserve">la sesión extraordinaria 16-2000 de la Junta Directiva del Consejo de </w:t>
      </w:r>
      <w:r w:rsidR="00F745F7">
        <w:rPr>
          <w:rStyle w:val="CharacterStyle4"/>
          <w:rFonts w:ascii="Verdana" w:hAnsi="Verdana" w:cs="Verdana"/>
          <w:spacing w:val="3"/>
          <w:lang w:val="es-ES" w:eastAsia="es-ES"/>
        </w:rPr>
        <w:t>Transporte Público del 20 de julio de 2000.</w:t>
      </w:r>
    </w:p>
    <w:p w:rsidR="003F2FFA" w:rsidRDefault="00F745F7" w:rsidP="002B3CA0">
      <w:pPr>
        <w:pStyle w:val="Style4"/>
        <w:kinsoku w:val="0"/>
        <w:autoSpaceDE/>
        <w:autoSpaceDN/>
        <w:adjustRightInd/>
        <w:spacing w:before="252" w:after="108"/>
        <w:ind w:right="144"/>
        <w:jc w:val="both"/>
        <w:rPr>
          <w:rStyle w:val="CharacterStyle4"/>
          <w:rFonts w:ascii="Arial" w:hAnsi="Arial" w:cs="Arial"/>
          <w:b/>
          <w:bCs/>
          <w:spacing w:val="-3"/>
          <w:sz w:val="6"/>
          <w:szCs w:val="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w w:val="105"/>
          <w:lang w:val="es-ES" w:eastAsia="es-ES"/>
        </w:rPr>
        <w:lastRenderedPageBreak/>
        <w:t xml:space="preserve">II.-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De conformidad con el artículo 22, inciso c), de la citada Ley 7969, la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presente resolución no tiene ulterior recurso por lo que, se </w:t>
      </w:r>
      <w:r>
        <w:rPr>
          <w:rStyle w:val="CharacterStyle4"/>
          <w:rFonts w:ascii="Verdana" w:hAnsi="Verdana" w:cs="Verdana"/>
          <w:i/>
          <w:iCs/>
          <w:spacing w:val="9"/>
          <w:w w:val="105"/>
          <w:sz w:val="21"/>
          <w:szCs w:val="21"/>
          <w:lang w:val="es-ES" w:eastAsia="es-ES"/>
        </w:rPr>
        <w:t xml:space="preserve">tiene por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21"/>
          <w:szCs w:val="21"/>
          <w:lang w:val="es-ES" w:eastAsia="es-ES"/>
        </w:rPr>
        <w:t xml:space="preserve">agotada la vía administrativa. </w:t>
      </w:r>
      <w:r>
        <w:rPr>
          <w:rStyle w:val="CharacterStyle4"/>
          <w:rFonts w:ascii="Verdana" w:hAnsi="Verdana" w:cs="Verdana"/>
          <w:b/>
          <w:bCs/>
          <w:spacing w:val="-3"/>
          <w:w w:val="105"/>
          <w:lang w:val="es-ES" w:eastAsia="es-ES"/>
        </w:rPr>
        <w:t>NOTIFÍQUESE.</w:t>
      </w:r>
      <w:r>
        <w:rPr>
          <w:rStyle w:val="CharacterStyle4"/>
          <w:rFonts w:ascii="Arial" w:hAnsi="Arial" w:cs="Arial"/>
          <w:b/>
          <w:bCs/>
          <w:spacing w:val="-3"/>
          <w:sz w:val="6"/>
          <w:szCs w:val="6"/>
          <w:lang w:val="es-ES" w:eastAsia="es-ES"/>
        </w:rPr>
        <w:t>-</w:t>
      </w:r>
    </w:p>
    <w:p w:rsidR="003F2FFA" w:rsidRPr="004E392C" w:rsidRDefault="003F2FFA" w:rsidP="002B3CA0">
      <w:pPr>
        <w:rPr>
          <w:lang w:val="es-CR"/>
        </w:rPr>
      </w:pPr>
    </w:p>
    <w:p w:rsidR="002B3CA0" w:rsidRPr="004E392C" w:rsidRDefault="002B3CA0" w:rsidP="002B3CA0">
      <w:pPr>
        <w:rPr>
          <w:rFonts w:ascii="Tahoma" w:hAnsi="Tahoma" w:cs="Tahoma"/>
          <w:sz w:val="20"/>
          <w:szCs w:val="20"/>
          <w:lang w:val="es-CR"/>
        </w:rPr>
      </w:pPr>
    </w:p>
    <w:p w:rsidR="002B3CA0" w:rsidRPr="004E392C" w:rsidRDefault="002B3CA0" w:rsidP="002B3CA0">
      <w:pPr>
        <w:rPr>
          <w:rFonts w:ascii="Tahoma" w:hAnsi="Tahoma" w:cs="Tahoma"/>
          <w:sz w:val="20"/>
          <w:szCs w:val="20"/>
          <w:lang w:val="es-CR"/>
        </w:rPr>
      </w:pPr>
    </w:p>
    <w:p w:rsidR="00F745F7" w:rsidRPr="00F745F7" w:rsidRDefault="00F745F7" w:rsidP="00F745F7">
      <w:pPr>
        <w:pStyle w:val="Sinespaciado"/>
        <w:jc w:val="center"/>
        <w:rPr>
          <w:rFonts w:ascii="Tahoma" w:hAnsi="Tahoma" w:cs="Tahoma"/>
          <w:b/>
          <w:i/>
          <w:sz w:val="20"/>
          <w:szCs w:val="20"/>
          <w:lang w:val="es-ES" w:eastAsia="es-ES"/>
        </w:rPr>
      </w:pP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>Lic. Luis Gerardo Fallas Acosta</w:t>
      </w:r>
    </w:p>
    <w:p w:rsidR="00F745F7" w:rsidRPr="00F745F7" w:rsidRDefault="00F745F7" w:rsidP="00F745F7">
      <w:pPr>
        <w:pStyle w:val="Sinespaciado"/>
        <w:jc w:val="center"/>
        <w:rPr>
          <w:rFonts w:ascii="Tahoma" w:hAnsi="Tahoma" w:cs="Tahoma"/>
          <w:b/>
          <w:sz w:val="20"/>
          <w:szCs w:val="20"/>
          <w:lang w:val="es-ES" w:eastAsia="es-ES"/>
        </w:rPr>
      </w:pP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>Presidente</w:t>
      </w:r>
    </w:p>
    <w:p w:rsidR="00F745F7" w:rsidRPr="00F745F7" w:rsidRDefault="00F745F7" w:rsidP="00F745F7">
      <w:pPr>
        <w:pStyle w:val="Sinespaciado"/>
        <w:jc w:val="center"/>
        <w:rPr>
          <w:rFonts w:ascii="Tahoma" w:hAnsi="Tahoma" w:cs="Tahoma"/>
          <w:b/>
          <w:sz w:val="20"/>
          <w:szCs w:val="20"/>
          <w:lang w:val="es-ES" w:eastAsia="es-ES"/>
        </w:rPr>
      </w:pPr>
    </w:p>
    <w:p w:rsidR="00F745F7" w:rsidRPr="00F745F7" w:rsidRDefault="00F745F7" w:rsidP="00F745F7">
      <w:pPr>
        <w:pStyle w:val="Sinespaciado"/>
        <w:jc w:val="center"/>
        <w:rPr>
          <w:rFonts w:ascii="Tahoma" w:hAnsi="Tahoma" w:cs="Tahoma"/>
          <w:b/>
          <w:sz w:val="20"/>
          <w:szCs w:val="20"/>
          <w:lang w:val="es-ES" w:eastAsia="es-ES"/>
        </w:rPr>
      </w:pPr>
    </w:p>
    <w:p w:rsidR="00F745F7" w:rsidRPr="00F745F7" w:rsidRDefault="00F745F7" w:rsidP="00F745F7">
      <w:pPr>
        <w:pStyle w:val="Sinespaciado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 xml:space="preserve">Lic. Carlos Miguel Portuguez Méndez </w:t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  <w:t>Licda. Marta Luz Pérez Peláez</w:t>
      </w:r>
    </w:p>
    <w:p w:rsidR="00F745F7" w:rsidRPr="00F745F7" w:rsidRDefault="00F745F7" w:rsidP="00F745F7">
      <w:pPr>
        <w:pStyle w:val="Sinespaciado"/>
        <w:jc w:val="center"/>
        <w:rPr>
          <w:rStyle w:val="CharacterStyle5"/>
          <w:rFonts w:ascii="Tahoma" w:hAnsi="Tahoma" w:cs="Tahoma"/>
          <w:b/>
          <w:sz w:val="20"/>
          <w:szCs w:val="20"/>
          <w:lang w:val="es-ES" w:eastAsia="es-ES"/>
        </w:rPr>
      </w:pP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>Juez</w:t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>
        <w:rPr>
          <w:rFonts w:ascii="Tahoma" w:hAnsi="Tahoma" w:cs="Tahoma"/>
          <w:b/>
          <w:sz w:val="20"/>
          <w:szCs w:val="20"/>
          <w:lang w:val="es-ES" w:eastAsia="es-ES"/>
        </w:rPr>
        <w:t xml:space="preserve">    </w:t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>Juez</w:t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  <w:t xml:space="preserve">     </w:t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  <w:r w:rsidRPr="00F745F7">
        <w:rPr>
          <w:rFonts w:ascii="Tahoma" w:hAnsi="Tahoma" w:cs="Tahoma"/>
          <w:b/>
          <w:sz w:val="20"/>
          <w:szCs w:val="20"/>
          <w:lang w:val="es-ES" w:eastAsia="es-ES"/>
        </w:rPr>
        <w:tab/>
      </w:r>
    </w:p>
    <w:p w:rsidR="00F745F7" w:rsidRPr="00F745F7" w:rsidRDefault="00F745F7" w:rsidP="00F745F7">
      <w:pPr>
        <w:pStyle w:val="Sinespaciado"/>
        <w:jc w:val="center"/>
        <w:rPr>
          <w:rStyle w:val="CharacterStyle5"/>
          <w:rFonts w:ascii="Book Antiqua" w:hAnsi="Book Antiqua"/>
          <w:b/>
          <w:sz w:val="20"/>
          <w:szCs w:val="20"/>
          <w:lang w:val="es-ES" w:eastAsia="es-ES"/>
        </w:rPr>
      </w:pPr>
    </w:p>
    <w:p w:rsidR="00F745F7" w:rsidRPr="00F745F7" w:rsidRDefault="00F745F7" w:rsidP="00F745F7">
      <w:pPr>
        <w:pStyle w:val="Style3"/>
        <w:kinsoku w:val="0"/>
        <w:autoSpaceDE/>
        <w:autoSpaceDN/>
        <w:adjustRightInd/>
        <w:spacing w:before="108" w:after="36"/>
        <w:rPr>
          <w:rStyle w:val="CharacterStyle4"/>
          <w:b/>
          <w:spacing w:val="10"/>
          <w:lang w:val="es-ES" w:eastAsia="es-ES"/>
        </w:rPr>
      </w:pPr>
    </w:p>
    <w:p w:rsidR="002B3CA0" w:rsidRPr="00F745F7" w:rsidRDefault="002B3CA0" w:rsidP="002B3CA0">
      <w:pPr>
        <w:rPr>
          <w:lang w:val="es-ES"/>
        </w:rPr>
      </w:pPr>
    </w:p>
    <w:sectPr w:rsidR="002B3CA0" w:rsidRPr="00F745F7" w:rsidSect="006356EB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7836"/>
    <w:multiLevelType w:val="singleLevel"/>
    <w:tmpl w:val="2C4E1449"/>
    <w:lvl w:ilvl="0">
      <w:start w:val="2"/>
      <w:numFmt w:val="decimal"/>
      <w:lvlText w:val="%1.-"/>
      <w:lvlJc w:val="left"/>
      <w:pPr>
        <w:tabs>
          <w:tab w:val="num" w:pos="432"/>
        </w:tabs>
        <w:ind w:left="648" w:firstLine="72"/>
      </w:pPr>
      <w:rPr>
        <w:rFonts w:ascii="Verdana" w:hAnsi="Verdana" w:cs="Verdana"/>
        <w:snapToGrid/>
        <w:spacing w:val="2"/>
        <w:sz w:val="18"/>
        <w:szCs w:val="18"/>
      </w:rPr>
    </w:lvl>
  </w:abstractNum>
  <w:abstractNum w:abstractNumId="1">
    <w:nsid w:val="04CC50F2"/>
    <w:multiLevelType w:val="singleLevel"/>
    <w:tmpl w:val="4138E310"/>
    <w:lvl w:ilvl="0">
      <w:start w:val="2"/>
      <w:numFmt w:val="decimal"/>
      <w:lvlText w:val="%1.-"/>
      <w:lvlJc w:val="left"/>
      <w:pPr>
        <w:tabs>
          <w:tab w:val="num" w:pos="504"/>
        </w:tabs>
        <w:ind w:left="720" w:hanging="144"/>
      </w:pPr>
      <w:rPr>
        <w:rFonts w:ascii="Verdana" w:hAnsi="Verdana" w:cs="Verdana"/>
        <w:snapToGrid/>
        <w:spacing w:val="12"/>
        <w:sz w:val="18"/>
        <w:szCs w:val="18"/>
      </w:rPr>
    </w:lvl>
  </w:abstractNum>
  <w:abstractNum w:abstractNumId="2">
    <w:nsid w:val="0781A089"/>
    <w:multiLevelType w:val="singleLevel"/>
    <w:tmpl w:val="6E17D318"/>
    <w:lvl w:ilvl="0">
      <w:start w:val="2"/>
      <w:numFmt w:val="decimal"/>
      <w:lvlText w:val="%1.-"/>
      <w:lvlJc w:val="left"/>
      <w:pPr>
        <w:tabs>
          <w:tab w:val="num" w:pos="504"/>
        </w:tabs>
        <w:ind w:left="144" w:firstLine="72"/>
      </w:pPr>
      <w:rPr>
        <w:rFonts w:ascii="Verdana" w:hAnsi="Verdana" w:cs="Verdana"/>
        <w:b/>
        <w:bCs/>
        <w:snapToGrid/>
        <w:spacing w:val="13"/>
        <w:w w:val="105"/>
        <w:sz w:val="20"/>
        <w:szCs w:val="20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0" w:hanging="144"/>
        </w:pPr>
        <w:rPr>
          <w:rFonts w:ascii="Verdana" w:hAnsi="Verdana" w:cs="Verdana"/>
          <w:snapToGrid/>
          <w:spacing w:val="4"/>
          <w:sz w:val="18"/>
          <w:szCs w:val="18"/>
        </w:rPr>
      </w:lvl>
    </w:lvlOverride>
  </w:num>
  <w:num w:numId="3">
    <w:abstractNumId w:val="0"/>
  </w:num>
  <w:num w:numId="4">
    <w:abstractNumId w:val="2"/>
  </w:num>
  <w:num w:numId="5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144" w:firstLine="72"/>
        </w:pPr>
        <w:rPr>
          <w:rFonts w:ascii="Verdana" w:hAnsi="Verdana" w:cs="Verdana"/>
          <w:b/>
          <w:bCs/>
          <w:snapToGrid/>
          <w:spacing w:val="1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EB13EB"/>
    <w:rsid w:val="002B3CA0"/>
    <w:rsid w:val="003F2FFA"/>
    <w:rsid w:val="004E392C"/>
    <w:rsid w:val="005F1929"/>
    <w:rsid w:val="006356EB"/>
    <w:rsid w:val="00B472DC"/>
    <w:rsid w:val="00D73D1A"/>
    <w:rsid w:val="00EB13EB"/>
    <w:rsid w:val="00F7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FA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F2FFA"/>
    <w:pPr>
      <w:kinsoku/>
      <w:autoSpaceDE w:val="0"/>
      <w:autoSpaceDN w:val="0"/>
      <w:spacing w:before="72"/>
      <w:ind w:left="648" w:right="360" w:firstLine="72"/>
      <w:jc w:val="both"/>
    </w:pPr>
    <w:rPr>
      <w:sz w:val="18"/>
      <w:szCs w:val="18"/>
    </w:rPr>
  </w:style>
  <w:style w:type="paragraph" w:customStyle="1" w:styleId="Style3">
    <w:name w:val="Style 3"/>
    <w:basedOn w:val="Normal"/>
    <w:uiPriority w:val="99"/>
    <w:rsid w:val="003F2FFA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3F2FFA"/>
    <w:pPr>
      <w:kinsoku/>
      <w:autoSpaceDE w:val="0"/>
      <w:autoSpaceDN w:val="0"/>
      <w:spacing w:before="288"/>
      <w:jc w:val="both"/>
    </w:pPr>
    <w:rPr>
      <w:sz w:val="18"/>
      <w:szCs w:val="18"/>
    </w:rPr>
  </w:style>
  <w:style w:type="paragraph" w:customStyle="1" w:styleId="Style4">
    <w:name w:val="Style 4"/>
    <w:basedOn w:val="Normal"/>
    <w:uiPriority w:val="99"/>
    <w:rsid w:val="003F2FF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3F2FFA"/>
    <w:pPr>
      <w:kinsoku/>
      <w:autoSpaceDE w:val="0"/>
      <w:autoSpaceDN w:val="0"/>
      <w:spacing w:before="288"/>
      <w:ind w:right="216"/>
      <w:jc w:val="both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3F2FFA"/>
    <w:pPr>
      <w:kinsoku/>
      <w:autoSpaceDE w:val="0"/>
      <w:autoSpaceDN w:val="0"/>
      <w:spacing w:before="360"/>
    </w:pPr>
    <w:rPr>
      <w:sz w:val="23"/>
      <w:szCs w:val="23"/>
    </w:rPr>
  </w:style>
  <w:style w:type="paragraph" w:customStyle="1" w:styleId="Style7">
    <w:name w:val="Style 7"/>
    <w:basedOn w:val="Normal"/>
    <w:uiPriority w:val="99"/>
    <w:rsid w:val="003F2FFA"/>
    <w:pPr>
      <w:kinsoku/>
      <w:autoSpaceDE w:val="0"/>
      <w:autoSpaceDN w:val="0"/>
      <w:spacing w:line="144" w:lineRule="exact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3F2FFA"/>
    <w:pPr>
      <w:kinsoku/>
      <w:autoSpaceDE w:val="0"/>
      <w:autoSpaceDN w:val="0"/>
      <w:spacing w:before="252"/>
      <w:ind w:left="144" w:right="144" w:firstLine="72"/>
      <w:jc w:val="both"/>
    </w:pPr>
    <w:rPr>
      <w:sz w:val="19"/>
      <w:szCs w:val="19"/>
    </w:rPr>
  </w:style>
  <w:style w:type="character" w:customStyle="1" w:styleId="CharacterStyle1">
    <w:name w:val="Character Style 1"/>
    <w:uiPriority w:val="99"/>
    <w:rsid w:val="003F2FFA"/>
    <w:rPr>
      <w:sz w:val="18"/>
      <w:szCs w:val="18"/>
    </w:rPr>
  </w:style>
  <w:style w:type="character" w:customStyle="1" w:styleId="CharacterStyle3">
    <w:name w:val="Character Style 3"/>
    <w:uiPriority w:val="99"/>
    <w:rsid w:val="003F2FFA"/>
    <w:rPr>
      <w:sz w:val="20"/>
      <w:szCs w:val="20"/>
    </w:rPr>
  </w:style>
  <w:style w:type="character" w:customStyle="1" w:styleId="CharacterStyle4">
    <w:name w:val="Character Style 4"/>
    <w:uiPriority w:val="99"/>
    <w:rsid w:val="003F2FFA"/>
    <w:rPr>
      <w:sz w:val="20"/>
      <w:szCs w:val="20"/>
    </w:rPr>
  </w:style>
  <w:style w:type="character" w:customStyle="1" w:styleId="CharacterStyle5">
    <w:name w:val="Character Style 5"/>
    <w:uiPriority w:val="99"/>
    <w:rsid w:val="003F2FFA"/>
    <w:rPr>
      <w:sz w:val="19"/>
      <w:szCs w:val="19"/>
    </w:rPr>
  </w:style>
  <w:style w:type="character" w:customStyle="1" w:styleId="CharacterStyle6">
    <w:name w:val="Character Style 6"/>
    <w:uiPriority w:val="99"/>
    <w:rsid w:val="003F2FFA"/>
    <w:rPr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C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CA0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2B3CA0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1246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7</cp:revision>
  <dcterms:created xsi:type="dcterms:W3CDTF">2012-10-04T16:45:00Z</dcterms:created>
  <dcterms:modified xsi:type="dcterms:W3CDTF">2012-10-09T18:12:00Z</dcterms:modified>
</cp:coreProperties>
</file>